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spacing w:line="400" w:lineRule="exact"/>
        <w:ind w:leftChars="0" w:firstLineChars="0"/>
        <w:rPr>
          <w:rFonts w:hint="eastAsia" w:ascii="ＭＳ 明朝" w:hAnsi="ＭＳ 明朝" w:eastAsia="ＭＳ 明朝"/>
          <w:color w:val="auto"/>
          <w:sz w:val="24"/>
        </w:rPr>
      </w:pPr>
      <w:bookmarkStart w:id="0" w:name="C0_2"/>
      <w:bookmarkEnd w:id="0"/>
    </w:p>
    <w:p>
      <w:pPr>
        <w:pStyle w:val="0"/>
        <w:topLinePunct w:val="1"/>
        <w:autoSpaceDE w:val="0"/>
        <w:autoSpaceDN w:val="0"/>
        <w:jc w:val="right"/>
        <w:rPr>
          <w:rFonts w:hint="eastAsia" w:ascii="ＭＳ 明朝" w:hAnsi="ＭＳ 明朝" w:eastAsia="ＭＳ 明朝"/>
          <w:color w:val="auto"/>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2688590</wp:posOffset>
                </wp:positionH>
                <wp:positionV relativeFrom="paragraph">
                  <wp:posOffset>-438785</wp:posOffset>
                </wp:positionV>
                <wp:extent cx="765810" cy="54991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5810" cy="54991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（表）</w:t>
                            </w:r>
                          </w:p>
                        </w:txbxContent>
                      </wps:txbx>
                      <wps:bodyPr vertOverflow="overflow" horzOverflow="overflow" wrap="square" anchor="ctr"/>
                    </wps:wsp>
                  </a:graphicData>
                </a:graphic>
              </wp:anchor>
            </w:drawing>
          </mc:Choice>
          <mc:Fallback>
            <w:pict>
              <v:rect id="オブジェクト 0" style="mso-wrap-distance-right:16pt;mso-wrap-distance-bottom:0pt;margin-top:-34.54pt;mso-position-vertical-relative:text;mso-position-horizontal-relative:text;v-text-anchor:middle;position:absolute;height:43.3pt;mso-wrap-distance-top:0pt;width:60.3pt;mso-wrap-distance-left:16pt;margin-left:211.7pt;z-index:2;" o:spid="_x0000_s1026"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（表）</w:t>
                      </w:r>
                    </w:p>
                  </w:txbxContent>
                </v:textbox>
                <v:imagedata o:title=""/>
                <w10:wrap type="none" anchorx="text" anchory="text"/>
              </v:rect>
            </w:pict>
          </mc:Fallback>
        </mc:AlternateContent>
      </w:r>
      <w:r>
        <w:rPr>
          <w:rFonts w:hint="eastAsia" w:ascii="ＭＳ 明朝" w:hAnsi="ＭＳ 明朝" w:eastAsia="ＭＳ 明朝"/>
          <w:color w:val="auto"/>
          <w:sz w:val="24"/>
        </w:rPr>
        <w:t>（定型様式）</w:t>
      </w: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leftChars="0" w:firstLine="209" w:firstLineChars="87"/>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令和７年度　静岡県住家被害認定調査研修講師業務委託契約</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（当初契約日　　年　　月　　日）</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w:t>
      </w:r>
      <w:r>
        <w:rPr>
          <w:rFonts w:hint="eastAsia" w:ascii="ＭＳ 明朝" w:hAnsi="ＭＳ 明朝" w:eastAsia="ＭＳ 明朝"/>
          <w:strike w:val="0"/>
          <w:dstrike w:val="0"/>
          <w:color w:val="auto"/>
          <w:sz w:val="24"/>
        </w:rPr>
        <w:t>県</w:t>
      </w:r>
      <w:r>
        <w:rPr>
          <w:rFonts w:hint="eastAsia" w:ascii="ＭＳ 明朝" w:hAnsi="ＭＳ 明朝" w:eastAsia="ＭＳ 明朝"/>
          <w:color w:val="auto"/>
          <w:sz w:val="24"/>
        </w:rPr>
        <w:t>に報告し、是正のために必要な措置を講ずること。また、所管行政庁に是正の報告を行ったときは、その内容を速やかに県に報告すること。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下請負者から誓約書を提出させ、その写しを県に提出すること。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下請負者がさらに第三者と下請契約を締結したときは、当該下請負者を通じて、ア及びイと同様に、当該第三者からの誓約書の写しの提出等を行うこと。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jc w:val="right"/>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静岡県知事　様</w:t>
      </w:r>
    </w:p>
    <w:p>
      <w:pPr>
        <w:pStyle w:val="0"/>
        <w:topLinePunct w:val="1"/>
        <w:autoSpaceDE w:val="0"/>
        <w:autoSpaceDN w:val="0"/>
        <w:rPr>
          <w:rFonts w:hint="eastAsia" w:ascii="ＭＳ 明朝" w:hAnsi="ＭＳ 明朝" w:eastAsia="ＭＳ 明朝"/>
          <w:color w:val="auto"/>
          <w:sz w:val="24"/>
        </w:rPr>
      </w:pPr>
      <w:bookmarkStart w:id="1" w:name="_GoBack"/>
      <w:bookmarkEnd w:id="1"/>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1"/>
        </w:rPr>
        <w:t>所在地又は住</w:t>
      </w:r>
      <w:r>
        <w:rPr>
          <w:rFonts w:hint="eastAsia" w:ascii="ＭＳ 明朝" w:hAnsi="ＭＳ 明朝" w:eastAsia="ＭＳ 明朝"/>
          <w:color w:val="auto"/>
          <w:kern w:val="0"/>
          <w:sz w:val="24"/>
          <w:fitText w:val="1920" w:id="1"/>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2"/>
        </w:rPr>
        <w:t>商号</w:t>
      </w:r>
      <w:r>
        <w:rPr>
          <w:rFonts w:hint="eastAsia" w:ascii="ＭＳ 明朝" w:hAnsi="ＭＳ 明朝" w:eastAsia="ＭＳ 明朝"/>
          <w:color w:val="auto"/>
          <w:spacing w:val="60"/>
          <w:w w:val="88"/>
          <w:kern w:val="0"/>
          <w:sz w:val="24"/>
          <w:fitText w:val="1920" w:id="2"/>
        </w:rPr>
        <w:t>又は名</w:t>
      </w:r>
      <w:r>
        <w:rPr>
          <w:rFonts w:hint="eastAsia" w:ascii="ＭＳ 明朝" w:hAnsi="ＭＳ 明朝" w:eastAsia="ＭＳ 明朝"/>
          <w:color w:val="auto"/>
          <w:spacing w:val="2"/>
          <w:w w:val="88"/>
          <w:kern w:val="0"/>
          <w:sz w:val="24"/>
          <w:fitText w:val="1920" w:id="2"/>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eastAsia" w:ascii="Arial" w:hAnsi="Arial"/>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eastAsia" w:ascii="ＭＳ 明朝" w:hAnsi="ＭＳ 明朝"/>
          <w:color w:val="auto"/>
          <w:sz w:val="24"/>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2688590</wp:posOffset>
                </wp:positionH>
                <wp:positionV relativeFrom="paragraph">
                  <wp:posOffset>-477520</wp:posOffset>
                </wp:positionV>
                <wp:extent cx="765810" cy="4318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765810" cy="43180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（裏）</w:t>
                            </w:r>
                          </w:p>
                        </w:txbxContent>
                      </wps:txbx>
                      <wps:bodyPr vertOverflow="overflow" horzOverflow="overflow" anchor="ctr"/>
                    </wps:wsp>
                  </a:graphicData>
                </a:graphic>
              </wp:anchor>
            </w:drawing>
          </mc:Choice>
          <mc:Fallback>
            <w:pict>
              <v:rect id="オブジェクト 0" style="mso-wrap-distance-right:16pt;mso-wrap-distance-bottom:0pt;margin-top:-37.6pt;mso-position-vertical-relative:text;mso-position-horizontal-relative:text;v-text-anchor:middle;position:absolute;height:34pt;mso-wrap-distance-top:0pt;width:60.3pt;mso-wrap-distance-left:16pt;margin-left:211.7pt;z-index:3;" o:spid="_x0000_s1027"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（裏）</w:t>
                      </w:r>
                    </w:p>
                  </w:txbxContent>
                </v:textbox>
                <v:imagedata o:title=""/>
                <w10:wrap type="none" anchorx="text" anchory="text"/>
              </v:rect>
            </w:pict>
          </mc:Fallback>
        </mc:AlternateContent>
      </w: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2"/>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　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25"/>
              <w:widowControl w:val="1"/>
              <w:numPr>
                <w:numId w:val="0"/>
              </w:numPr>
              <w:topLinePunct w:val="1"/>
              <w:autoSpaceDE w:val="0"/>
              <w:autoSpaceDN w:val="0"/>
              <w:ind w:left="0" w:leftChars="0" w:firstLineChars="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rPr>
          <w:rFonts w:hint="default" w:ascii="ＭＳ 明朝" w:hAnsi="ＭＳ 明朝" w:eastAsia="ＭＳ 明朝"/>
          <w:sz w:val="24"/>
        </w:rPr>
      </w:pPr>
    </w:p>
    <w:sectPr>
      <w:pgSz w:w="11906" w:h="16838"/>
      <w:pgMar w:top="774" w:right="975" w:bottom="764" w:left="975"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563C1" w:themeColor="hyperlink"/>
      <w:u w:val="single" w:color="auto"/>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3107</TotalTime>
  <Pages>10</Pages>
  <Words>54</Words>
  <Characters>4290</Characters>
  <Application>JUST Note</Application>
  <Lines>1644</Lines>
  <Paragraphs>220</Paragraphs>
  <CharactersWithSpaces>4720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谷澤　俊光</cp:lastModifiedBy>
  <cp:lastPrinted>2022-03-10T04:52:05Z</cp:lastPrinted>
  <dcterms:modified xsi:type="dcterms:W3CDTF">2025-04-01T05:40:36Z</dcterms:modified>
  <cp:revision>38</cp:revision>
</cp:coreProperties>
</file>